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7229" w14:textId="18739209" w:rsidR="00E563A3" w:rsidRPr="00E563A3" w:rsidRDefault="00E563A3" w:rsidP="00E563A3">
      <w:pPr>
        <w:jc w:val="center"/>
        <w:rPr>
          <w:b/>
          <w:bCs/>
          <w:sz w:val="28"/>
          <w:szCs w:val="28"/>
          <w:lang w:val="es-ES"/>
        </w:rPr>
      </w:pPr>
      <w:r w:rsidRPr="00E563A3">
        <w:rPr>
          <w:b/>
          <w:bCs/>
          <w:sz w:val="28"/>
          <w:szCs w:val="28"/>
          <w:lang w:val="es-ES"/>
        </w:rPr>
        <w:t>LEYES</w:t>
      </w:r>
    </w:p>
    <w:tbl>
      <w:tblPr>
        <w:tblW w:w="5005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398"/>
      </w:tblGrid>
      <w:tr w:rsidR="00E563A3" w:rsidRPr="00E563A3" w14:paraId="373EE20B" w14:textId="77777777" w:rsidTr="00E563A3">
        <w:trPr>
          <w:tblCellSpacing w:w="15" w:type="dxa"/>
        </w:trPr>
        <w:tc>
          <w:tcPr>
            <w:tcW w:w="78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CDC2D02" w14:textId="01FA84AD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4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1755 de 2015</w:t>
              </w:r>
            </w:hyperlink>
          </w:p>
        </w:tc>
        <w:tc>
          <w:tcPr>
            <w:tcW w:w="416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5B76232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Ley 1755 de 2015 “Regulatoria del Derecho de Petición”</w:t>
            </w:r>
          </w:p>
        </w:tc>
      </w:tr>
      <w:tr w:rsidR="00E563A3" w:rsidRPr="00E563A3" w14:paraId="5BCD026E" w14:textId="77777777" w:rsidTr="00E563A3">
        <w:trPr>
          <w:tblCellSpacing w:w="15" w:type="dxa"/>
        </w:trPr>
        <w:tc>
          <w:tcPr>
            <w:tcW w:w="78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02729D96" w14:textId="061661E6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5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1474 de 2011</w:t>
              </w:r>
            </w:hyperlink>
          </w:p>
        </w:tc>
        <w:tc>
          <w:tcPr>
            <w:tcW w:w="416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021431F4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Artículo 90 establece las condiciones para la inhabilidad por incumplimiento reiterado. </w:t>
            </w:r>
          </w:p>
        </w:tc>
      </w:tr>
      <w:tr w:rsidR="00E563A3" w:rsidRPr="00E563A3" w14:paraId="0B66A549" w14:textId="77777777" w:rsidTr="00E563A3">
        <w:trPr>
          <w:tblCellSpacing w:w="15" w:type="dxa"/>
        </w:trPr>
        <w:tc>
          <w:tcPr>
            <w:tcW w:w="78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2E32DEA" w14:textId="4CFC4028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6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1150 de 2007</w:t>
              </w:r>
            </w:hyperlink>
          </w:p>
        </w:tc>
        <w:tc>
          <w:tcPr>
            <w:tcW w:w="416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40655B26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Artículo 6 modifica la Ley 80 de 1993 (Ley General de Contratación Pública).</w:t>
            </w:r>
          </w:p>
        </w:tc>
      </w:tr>
      <w:tr w:rsidR="00E563A3" w:rsidRPr="00E563A3" w14:paraId="3E52A5B1" w14:textId="77777777" w:rsidTr="00E563A3">
        <w:trPr>
          <w:tblCellSpacing w:w="15" w:type="dxa"/>
        </w:trPr>
        <w:tc>
          <w:tcPr>
            <w:tcW w:w="78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BDFAB3F" w14:textId="48CC3167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7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789 de 2002</w:t>
              </w:r>
            </w:hyperlink>
          </w:p>
        </w:tc>
        <w:tc>
          <w:tcPr>
            <w:tcW w:w="416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4EB985E6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Reglamenta las contribuciones parafiscales y se dictan otras normas de impuestos.</w:t>
            </w:r>
          </w:p>
        </w:tc>
      </w:tr>
      <w:tr w:rsidR="00E563A3" w:rsidRPr="00E563A3" w14:paraId="4306187F" w14:textId="77777777" w:rsidTr="00E563A3">
        <w:trPr>
          <w:tblCellSpacing w:w="15" w:type="dxa"/>
        </w:trPr>
        <w:tc>
          <w:tcPr>
            <w:tcW w:w="78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3AB48AD" w14:textId="0EE4A8AD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8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80 de 1993</w:t>
              </w:r>
            </w:hyperlink>
          </w:p>
        </w:tc>
        <w:tc>
          <w:tcPr>
            <w:tcW w:w="416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D0FD25D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Crea la Ley General de Contratación Pública y el Registro Único de Proponentes.</w:t>
            </w:r>
          </w:p>
        </w:tc>
      </w:tr>
      <w:tr w:rsidR="00E563A3" w:rsidRPr="00E563A3" w14:paraId="67E0FAE7" w14:textId="77777777" w:rsidTr="00E563A3">
        <w:trPr>
          <w:tblCellSpacing w:w="15" w:type="dxa"/>
        </w:trPr>
        <w:tc>
          <w:tcPr>
            <w:tcW w:w="78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BE68A64" w14:textId="3098A8DF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9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Ley 1314 de 2009</w:t>
              </w:r>
            </w:hyperlink>
          </w:p>
        </w:tc>
        <w:tc>
          <w:tcPr>
            <w:tcW w:w="416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3657F865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la cual se regulan los principios y normas de contabilidad e información financiera en Colombia (NIIF) </w:t>
            </w:r>
          </w:p>
        </w:tc>
      </w:tr>
    </w:tbl>
    <w:p w14:paraId="24B621C3" w14:textId="750AEEB8" w:rsidR="00E563A3" w:rsidRDefault="00E563A3">
      <w:pPr>
        <w:rPr>
          <w:lang w:val="es-ES"/>
        </w:rPr>
      </w:pPr>
    </w:p>
    <w:p w14:paraId="3F74F617" w14:textId="77777777" w:rsidR="00E563A3" w:rsidRDefault="00E563A3">
      <w:pPr>
        <w:rPr>
          <w:lang w:val="es-ES"/>
        </w:rPr>
      </w:pPr>
    </w:p>
    <w:p w14:paraId="468E4179" w14:textId="1A14D257" w:rsidR="00E563A3" w:rsidRPr="00E563A3" w:rsidRDefault="00E563A3" w:rsidP="00E563A3">
      <w:pPr>
        <w:jc w:val="center"/>
        <w:rPr>
          <w:b/>
          <w:bCs/>
          <w:sz w:val="28"/>
          <w:szCs w:val="28"/>
          <w:lang w:val="es-ES"/>
        </w:rPr>
      </w:pPr>
      <w:r w:rsidRPr="00E563A3">
        <w:rPr>
          <w:b/>
          <w:bCs/>
          <w:sz w:val="28"/>
          <w:szCs w:val="28"/>
          <w:lang w:val="es-ES"/>
        </w:rPr>
        <w:t>CONCEPTOS</w:t>
      </w:r>
    </w:p>
    <w:tbl>
      <w:tblPr>
        <w:tblW w:w="5005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5120"/>
      </w:tblGrid>
      <w:tr w:rsidR="00E563A3" w:rsidRPr="00E563A3" w14:paraId="705C256E" w14:textId="77777777" w:rsidTr="00E563A3">
        <w:trPr>
          <w:tblCellSpacing w:w="15" w:type="dxa"/>
        </w:trPr>
        <w:tc>
          <w:tcPr>
            <w:tcW w:w="207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B4FC2D4" w14:textId="55741D40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0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Concepto del Consejo Técnico de la Contaduría Pública</w:t>
              </w:r>
            </w:hyperlink>
          </w:p>
        </w:tc>
        <w:tc>
          <w:tcPr>
            <w:tcW w:w="287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DF23807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Concepto Consejo Técnico de la Contaduría Pública sobre gastos de intereses.</w:t>
            </w: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br/>
              <w:t> </w:t>
            </w:r>
          </w:p>
        </w:tc>
      </w:tr>
    </w:tbl>
    <w:p w14:paraId="42754960" w14:textId="77777777" w:rsidR="00E563A3" w:rsidRDefault="00E563A3">
      <w:pPr>
        <w:rPr>
          <w:lang w:val="es-ES"/>
        </w:rPr>
      </w:pPr>
    </w:p>
    <w:p w14:paraId="7BEF7687" w14:textId="77777777" w:rsidR="00E563A3" w:rsidRDefault="00E563A3">
      <w:pPr>
        <w:rPr>
          <w:b/>
          <w:bCs/>
          <w:sz w:val="28"/>
          <w:szCs w:val="28"/>
          <w:lang w:val="es-ES"/>
        </w:rPr>
      </w:pPr>
    </w:p>
    <w:p w14:paraId="31C3D3F8" w14:textId="39AEA4A7" w:rsidR="00E563A3" w:rsidRDefault="00E563A3" w:rsidP="00E563A3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RESOLUCIONES</w:t>
      </w:r>
    </w:p>
    <w:tbl>
      <w:tblPr>
        <w:tblW w:w="5005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361"/>
      </w:tblGrid>
      <w:tr w:rsidR="00E563A3" w:rsidRPr="00E563A3" w14:paraId="45197E99" w14:textId="77777777" w:rsidTr="00E563A3">
        <w:trPr>
          <w:tblCellSpacing w:w="15" w:type="dxa"/>
        </w:trPr>
        <w:tc>
          <w:tcPr>
            <w:tcW w:w="80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17D9C17" w14:textId="15025F45" w:rsidR="00E563A3" w:rsidRPr="00E563A3" w:rsidRDefault="00E563A3" w:rsidP="00E563A3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1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Resolución 2225 de 2019</w:t>
              </w:r>
            </w:hyperlink>
          </w:p>
        </w:tc>
        <w:tc>
          <w:tcPr>
            <w:tcW w:w="4142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AD9EB01" w14:textId="77777777" w:rsidR="00E563A3" w:rsidRPr="00E563A3" w:rsidRDefault="00E563A3" w:rsidP="00E563A3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Resolución 2225 de 2019. Expedida por el Ministerio de Comercio Industria y Turismo y el Departamento Administrativo Nacional de Estadística, por la cual se establece el anexo técnico de correspondencia de los sectores manufactureros, comercio y servicios con la clasificación de las actividades económicas – CIIU Revisión 4. A.C., para la definición del tamaño empresarial.</w:t>
            </w:r>
          </w:p>
        </w:tc>
      </w:tr>
    </w:tbl>
    <w:p w14:paraId="51212C07" w14:textId="4D15677C" w:rsidR="00E563A3" w:rsidRDefault="00E563A3">
      <w:pPr>
        <w:rPr>
          <w:b/>
          <w:bCs/>
          <w:sz w:val="28"/>
          <w:szCs w:val="28"/>
          <w:lang w:val="es-ES"/>
        </w:rPr>
      </w:pPr>
    </w:p>
    <w:p w14:paraId="492FDBAF" w14:textId="77777777" w:rsidR="00E563A3" w:rsidRDefault="00E563A3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br w:type="page"/>
      </w:r>
    </w:p>
    <w:p w14:paraId="06462C12" w14:textId="77777777" w:rsidR="00E563A3" w:rsidRDefault="00E563A3">
      <w:pPr>
        <w:rPr>
          <w:b/>
          <w:bCs/>
          <w:sz w:val="28"/>
          <w:szCs w:val="28"/>
          <w:lang w:val="es-ES"/>
        </w:rPr>
      </w:pPr>
    </w:p>
    <w:p w14:paraId="77F54BF2" w14:textId="2BD6244E" w:rsidR="00E563A3" w:rsidRPr="00E563A3" w:rsidRDefault="00E563A3" w:rsidP="00E563A3">
      <w:pPr>
        <w:jc w:val="center"/>
        <w:rPr>
          <w:b/>
          <w:bCs/>
          <w:sz w:val="28"/>
          <w:szCs w:val="28"/>
          <w:lang w:val="es-ES"/>
        </w:rPr>
      </w:pPr>
      <w:r w:rsidRPr="00E563A3">
        <w:rPr>
          <w:b/>
          <w:bCs/>
          <w:sz w:val="28"/>
          <w:szCs w:val="28"/>
          <w:lang w:val="es-ES"/>
        </w:rPr>
        <w:t>DECRETOS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7642"/>
      </w:tblGrid>
      <w:tr w:rsidR="00E563A3" w:rsidRPr="00E563A3" w14:paraId="2EB993C3" w14:textId="77777777" w:rsidTr="00E563A3">
        <w:trPr>
          <w:tblCellSpacing w:w="15" w:type="dxa"/>
        </w:trPr>
        <w:tc>
          <w:tcPr>
            <w:tcW w:w="64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BC39EDE" w14:textId="5E402BBC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2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434 de 2020</w:t>
              </w:r>
            </w:hyperlink>
          </w:p>
        </w:tc>
        <w:tc>
          <w:tcPr>
            <w:tcW w:w="430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AB28C34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el cual se establecen plazos especiales para la renovación de la matrícula mercantil, el RUNEOL y los demás registros que integran el Registro Único Empresarial y Social - RUES, así como para las reuniones ordinarias de las asambleas y demás cuerpos colegiados, para mitigar los efectos económicos del nuevo coronavirus COVID-19 en el territorio nacional.</w:t>
            </w:r>
          </w:p>
        </w:tc>
      </w:tr>
      <w:tr w:rsidR="00E563A3" w:rsidRPr="00E563A3" w14:paraId="3E7DD4A5" w14:textId="77777777" w:rsidTr="00E563A3">
        <w:trPr>
          <w:tblCellSpacing w:w="15" w:type="dxa"/>
        </w:trPr>
        <w:tc>
          <w:tcPr>
            <w:tcW w:w="64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06676D5" w14:textId="62F791F8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3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957 de 2019</w:t>
              </w:r>
            </w:hyperlink>
          </w:p>
        </w:tc>
        <w:tc>
          <w:tcPr>
            <w:tcW w:w="430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5E99ECD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"Por el cual se adiciona el capítulo 13 al Título 1 de la Parte 2 del Libro 2 del Decreto 1074 de 2015, Decreto Único del Sector Comercio, Industria y Turismo y se reglamenta el artículo 2° de la Ley 590 de 2000, modificado por el artículo 43 de la Ley 1450 de 2011", Criterios de clasificación de las micro, pequeñas, medianas y grandes empresas. </w:t>
            </w:r>
          </w:p>
        </w:tc>
      </w:tr>
      <w:tr w:rsidR="00E563A3" w:rsidRPr="00E563A3" w14:paraId="40AC74B9" w14:textId="77777777" w:rsidTr="00E563A3">
        <w:trPr>
          <w:tblCellSpacing w:w="15" w:type="dxa"/>
        </w:trPr>
        <w:tc>
          <w:tcPr>
            <w:tcW w:w="64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C53A44A" w14:textId="74C6A5B5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4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1082 de 2015</w:t>
              </w:r>
            </w:hyperlink>
          </w:p>
        </w:tc>
        <w:tc>
          <w:tcPr>
            <w:tcW w:w="430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FD2AFBB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“Por medio de cual se expide el Decreto Único Reglamentario del sector Administrativo de Planeación Nacional” que compila entre otras normas, los decretos 1510 de 2013 y el 791 de 2014 sobre el RUP, estableciéndose como su única norma rectora.</w:t>
            </w:r>
          </w:p>
        </w:tc>
      </w:tr>
      <w:tr w:rsidR="00E563A3" w:rsidRPr="00E563A3" w14:paraId="0A284EBE" w14:textId="77777777" w:rsidTr="00E563A3">
        <w:trPr>
          <w:tblCellSpacing w:w="15" w:type="dxa"/>
        </w:trPr>
        <w:tc>
          <w:tcPr>
            <w:tcW w:w="64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3306A43D" w14:textId="37DBEA57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5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</w:t>
              </w:r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reto 019 de 2012</w:t>
              </w:r>
            </w:hyperlink>
          </w:p>
        </w:tc>
        <w:tc>
          <w:tcPr>
            <w:tcW w:w="430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0D7997F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Dicta normas para suprimir o reformar regulaciones, procedimientos y trámites innecesarios existentes en la Administración Pública. El artículo 221 modificó el artículo 6 de la Ley 1150 de 2007.</w:t>
            </w:r>
          </w:p>
        </w:tc>
      </w:tr>
      <w:tr w:rsidR="00E563A3" w:rsidRPr="00E563A3" w14:paraId="02E4A19A" w14:textId="77777777" w:rsidTr="00E563A3">
        <w:trPr>
          <w:tblCellSpacing w:w="15" w:type="dxa"/>
        </w:trPr>
        <w:tc>
          <w:tcPr>
            <w:tcW w:w="64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47618BF1" w14:textId="081DA0D7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6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1074 de 2015</w:t>
              </w:r>
            </w:hyperlink>
          </w:p>
        </w:tc>
        <w:tc>
          <w:tcPr>
            <w:tcW w:w="430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44269E1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Reglamenta las tarifas de las cámaras de comercio.</w:t>
            </w:r>
          </w:p>
        </w:tc>
      </w:tr>
      <w:tr w:rsidR="00E563A3" w:rsidRPr="00E563A3" w14:paraId="63CCCAB8" w14:textId="77777777" w:rsidTr="00E563A3">
        <w:trPr>
          <w:tblCellSpacing w:w="15" w:type="dxa"/>
        </w:trPr>
        <w:tc>
          <w:tcPr>
            <w:tcW w:w="64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81841A7" w14:textId="41966062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7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1516 de 2016</w:t>
              </w:r>
            </w:hyperlink>
          </w:p>
        </w:tc>
        <w:tc>
          <w:tcPr>
            <w:tcW w:w="4306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59B59B1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Reporte incumplimiento en la ejecución de proyectos de vivienda de interés social.</w:t>
            </w:r>
          </w:p>
        </w:tc>
      </w:tr>
    </w:tbl>
    <w:p w14:paraId="5FE39B28" w14:textId="3DB221CE" w:rsidR="00E563A3" w:rsidRDefault="00E563A3">
      <w:pPr>
        <w:rPr>
          <w:lang w:val="es-ES"/>
        </w:rPr>
      </w:pPr>
    </w:p>
    <w:p w14:paraId="75C7AE08" w14:textId="77777777" w:rsidR="00E563A3" w:rsidRDefault="00E563A3">
      <w:pPr>
        <w:rPr>
          <w:lang w:val="es-ES"/>
        </w:rPr>
      </w:pPr>
      <w:r>
        <w:rPr>
          <w:lang w:val="es-ES"/>
        </w:rPr>
        <w:br w:type="page"/>
      </w:r>
    </w:p>
    <w:p w14:paraId="228AB0EC" w14:textId="15AD9075" w:rsidR="00E563A3" w:rsidRPr="00E563A3" w:rsidRDefault="00E563A3" w:rsidP="00E563A3">
      <w:pPr>
        <w:jc w:val="center"/>
        <w:rPr>
          <w:b/>
          <w:bCs/>
          <w:sz w:val="28"/>
          <w:szCs w:val="28"/>
          <w:lang w:val="es-ES"/>
        </w:rPr>
      </w:pPr>
      <w:r w:rsidRPr="00E563A3">
        <w:rPr>
          <w:b/>
          <w:bCs/>
          <w:sz w:val="28"/>
          <w:szCs w:val="28"/>
          <w:lang w:val="es-ES"/>
        </w:rPr>
        <w:lastRenderedPageBreak/>
        <w:t>CIRCULARES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6975"/>
      </w:tblGrid>
      <w:tr w:rsidR="00E563A3" w:rsidRPr="00E563A3" w14:paraId="59AEF13C" w14:textId="77777777" w:rsidTr="00E563A3">
        <w:trPr>
          <w:tblCellSpacing w:w="15" w:type="dxa"/>
        </w:trPr>
        <w:tc>
          <w:tcPr>
            <w:tcW w:w="10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069F5A8" w14:textId="2A504BB6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8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Circular externa 007 - SIC Cámaras de Comercio</w:t>
              </w:r>
            </w:hyperlink>
          </w:p>
        </w:tc>
        <w:tc>
          <w:tcPr>
            <w:tcW w:w="393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C02276A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externa 007 - SIC Cámaras de Comercio</w:t>
            </w:r>
          </w:p>
        </w:tc>
      </w:tr>
      <w:tr w:rsidR="00E563A3" w:rsidRPr="00E563A3" w14:paraId="4909A31A" w14:textId="77777777" w:rsidTr="00E563A3">
        <w:trPr>
          <w:tblCellSpacing w:w="15" w:type="dxa"/>
        </w:trPr>
        <w:tc>
          <w:tcPr>
            <w:tcW w:w="10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76981EF" w14:textId="5F97C945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19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Circular externa 004 de 2017 Formulario RUES</w:t>
              </w:r>
            </w:hyperlink>
          </w:p>
        </w:tc>
        <w:tc>
          <w:tcPr>
            <w:tcW w:w="393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5AA8053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Externa nro. 004 del 14 de julio de 2017 expedida por la Superintendencia de Industria y Comercio, por la cual se modifica el Anexo nro. 4.1. “Formulario del Registro Único Empresarial y Social -</w:t>
            </w:r>
            <w:proofErr w:type="spellStart"/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Rues</w:t>
            </w:r>
            <w:proofErr w:type="spellEnd"/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- y sus anexos” del Capítulo Primero “Registros Públicos a cargo de las Cámaras de Comercio” del Título VIII de la Circular Única de la Superintendencia de Industria y Comercio.</w:t>
            </w:r>
          </w:p>
        </w:tc>
      </w:tr>
      <w:tr w:rsidR="00E563A3" w:rsidRPr="00E563A3" w14:paraId="1DD00454" w14:textId="77777777" w:rsidTr="00E563A3">
        <w:trPr>
          <w:tblCellSpacing w:w="15" w:type="dxa"/>
        </w:trPr>
        <w:tc>
          <w:tcPr>
            <w:tcW w:w="10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1C30A12" w14:textId="7B442C7F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20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Circular externa 002 de 2016 de la SIC</w:t>
              </w:r>
            </w:hyperlink>
          </w:p>
        </w:tc>
        <w:tc>
          <w:tcPr>
            <w:tcW w:w="393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265FE0E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"Modifica el Título VIII de la Circular Única, por la cual se imparten instrucciones a las cámaras de comercio en los aspectos relacionados con los registros públicos". </w:t>
            </w:r>
          </w:p>
        </w:tc>
      </w:tr>
      <w:tr w:rsidR="00E563A3" w:rsidRPr="00E563A3" w14:paraId="1BBC8A96" w14:textId="77777777" w:rsidTr="00E563A3">
        <w:trPr>
          <w:tblCellSpacing w:w="15" w:type="dxa"/>
        </w:trPr>
        <w:tc>
          <w:tcPr>
            <w:tcW w:w="10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042C88F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</w:t>
            </w:r>
          </w:p>
          <w:p w14:paraId="2D14EFB7" w14:textId="1A8BCE41" w:rsidR="00E563A3" w:rsidRPr="00E563A3" w:rsidRDefault="00E563A3" w:rsidP="00E563A3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21" w:history="1">
              <w:r w:rsidRPr="00E563A3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Anexo 4</w:t>
              </w:r>
            </w:hyperlink>
          </w:p>
        </w:tc>
        <w:tc>
          <w:tcPr>
            <w:tcW w:w="393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73D0A30" w14:textId="77777777" w:rsidR="00E563A3" w:rsidRPr="00E563A3" w:rsidRDefault="00E563A3" w:rsidP="00E563A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E563A3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Anexo solicitud de uso de medios electrónicos para la remisión de información de las entidades estatales sobre contratos, multas, sanciones e inhabilidades, así como el reporte de las sanciones por incumplimiento de las que trata el Decreto 1516 de 2016</w:t>
            </w:r>
          </w:p>
        </w:tc>
      </w:tr>
    </w:tbl>
    <w:p w14:paraId="613B78A1" w14:textId="19598D32" w:rsidR="00E563A3" w:rsidRDefault="00E563A3">
      <w:pPr>
        <w:rPr>
          <w:lang w:val="es-ES"/>
        </w:rPr>
      </w:pPr>
    </w:p>
    <w:p w14:paraId="1B8A74D5" w14:textId="77777777" w:rsidR="00E563A3" w:rsidRDefault="00E563A3">
      <w:pPr>
        <w:rPr>
          <w:lang w:val="es-ES"/>
        </w:rPr>
      </w:pPr>
      <w:r>
        <w:rPr>
          <w:lang w:val="es-ES"/>
        </w:rPr>
        <w:br w:type="page"/>
      </w:r>
    </w:p>
    <w:p w14:paraId="0D79EBD9" w14:textId="77777777" w:rsidR="00E563A3" w:rsidRPr="00E563A3" w:rsidRDefault="00E563A3">
      <w:pPr>
        <w:rPr>
          <w:lang w:val="es-ES"/>
        </w:rPr>
      </w:pPr>
    </w:p>
    <w:sectPr w:rsidR="00E563A3" w:rsidRPr="00E5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3"/>
    <w:rsid w:val="00953603"/>
    <w:rsid w:val="00E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6155"/>
  <w15:chartTrackingRefBased/>
  <w15:docId w15:val="{2162DE3C-B92F-4C01-B4E0-7F5BBD7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63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y%2080%20de%201993.pdf" TargetMode="External"/><Relationship Id="rId13" Type="http://schemas.openxmlformats.org/officeDocument/2006/relationships/hyperlink" Target="Decreto%20957%20de%202019.pdf" TargetMode="External"/><Relationship Id="rId18" Type="http://schemas.openxmlformats.org/officeDocument/2006/relationships/hyperlink" Target="CIRCULAR%20007%20CAMARAS%20DE%20COMERCIO%20(1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nexo_solicituddeuso_demedioselectronicos_anexo4.pdf" TargetMode="External"/><Relationship Id="rId7" Type="http://schemas.openxmlformats.org/officeDocument/2006/relationships/hyperlink" Target="Ley%20789%20de%202002.pdf" TargetMode="External"/><Relationship Id="rId12" Type="http://schemas.openxmlformats.org/officeDocument/2006/relationships/hyperlink" Target="DECRETO_434_DE_2020.pdf" TargetMode="External"/><Relationship Id="rId17" Type="http://schemas.openxmlformats.org/officeDocument/2006/relationships/hyperlink" Target="Decreto%201516%20de%20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Decreto%201074%202015.pdf" TargetMode="External"/><Relationship Id="rId20" Type="http://schemas.openxmlformats.org/officeDocument/2006/relationships/hyperlink" Target="Circular%20externa%20002%20de%202016%20de%20la%20SIC.pdf" TargetMode="External"/><Relationship Id="rId1" Type="http://schemas.openxmlformats.org/officeDocument/2006/relationships/styles" Target="styles.xml"/><Relationship Id="rId6" Type="http://schemas.openxmlformats.org/officeDocument/2006/relationships/hyperlink" Target="Ley%201150%20de%202007.pdf" TargetMode="External"/><Relationship Id="rId11" Type="http://schemas.openxmlformats.org/officeDocument/2006/relationships/hyperlink" Target="Resolucion-No-2225-de-5-de-Diciembre-de-2019.pdf" TargetMode="External"/><Relationship Id="rId5" Type="http://schemas.openxmlformats.org/officeDocument/2006/relationships/hyperlink" Target="LEY%201474%20DE%202011.pdf" TargetMode="External"/><Relationship Id="rId15" Type="http://schemas.openxmlformats.org/officeDocument/2006/relationships/hyperlink" Target="Decreto%2019%20de%20201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cepto_consejo_tecnico_contaduria_publica.pdf" TargetMode="External"/><Relationship Id="rId19" Type="http://schemas.openxmlformats.org/officeDocument/2006/relationships/hyperlink" Target="SuperIndustria_circularExterna004_2017_Formulario_RUES.PDF" TargetMode="External"/><Relationship Id="rId4" Type="http://schemas.openxmlformats.org/officeDocument/2006/relationships/hyperlink" Target="Ley%201755%20del%2030%20de%20junio%20de%202015.pdf" TargetMode="External"/><Relationship Id="rId9" Type="http://schemas.openxmlformats.org/officeDocument/2006/relationships/hyperlink" Target="Ley%201314%20de%202009.pdf" TargetMode="External"/><Relationship Id="rId14" Type="http://schemas.openxmlformats.org/officeDocument/2006/relationships/hyperlink" Target="Decreto%201082%20del%2026%20de%20mayo%20de%202015_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Barrera</dc:creator>
  <cp:keywords/>
  <dc:description/>
  <cp:lastModifiedBy>Edgar Barrera</cp:lastModifiedBy>
  <cp:revision>2</cp:revision>
  <dcterms:created xsi:type="dcterms:W3CDTF">2020-10-13T23:22:00Z</dcterms:created>
  <dcterms:modified xsi:type="dcterms:W3CDTF">2020-10-14T00:01:00Z</dcterms:modified>
</cp:coreProperties>
</file>