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75A9" w14:textId="19651C46" w:rsidR="003754EB" w:rsidRPr="00B10F7A" w:rsidRDefault="003754EB" w:rsidP="00B10F7A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B10F7A">
        <w:rPr>
          <w:rFonts w:ascii="Arial" w:hAnsi="Arial" w:cs="Arial"/>
          <w:b/>
          <w:bCs/>
          <w:sz w:val="24"/>
          <w:szCs w:val="24"/>
          <w:lang w:val="es-ES"/>
        </w:rPr>
        <w:t>LEYES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7268"/>
      </w:tblGrid>
      <w:tr w:rsidR="003754EB" w:rsidRPr="003754EB" w14:paraId="6B3CE7FE" w14:textId="77777777" w:rsidTr="00B10F7A">
        <w:trPr>
          <w:tblCellSpacing w:w="15" w:type="dxa"/>
        </w:trPr>
        <w:tc>
          <w:tcPr>
            <w:tcW w:w="85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68883476" w14:textId="2F7F66C7" w:rsidR="003754EB" w:rsidRPr="003754EB" w:rsidRDefault="003754EB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4" w:tgtFrame="_blank" w:history="1">
              <w:r w:rsidRPr="003754EB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Ley 300 de 1996</w:t>
              </w:r>
            </w:hyperlink>
          </w:p>
        </w:tc>
        <w:tc>
          <w:tcPr>
            <w:tcW w:w="4100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4C516FDA" w14:textId="77777777" w:rsidR="003754EB" w:rsidRPr="003754EB" w:rsidRDefault="003754EB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3754EB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Por la cual se expide la Ley General de Turismo y se dictan otras disposiciones</w:t>
            </w:r>
          </w:p>
        </w:tc>
      </w:tr>
      <w:tr w:rsidR="003754EB" w:rsidRPr="003754EB" w14:paraId="311116D6" w14:textId="77777777" w:rsidTr="00B10F7A">
        <w:trPr>
          <w:tblCellSpacing w:w="15" w:type="dxa"/>
        </w:trPr>
        <w:tc>
          <w:tcPr>
            <w:tcW w:w="85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1A9CE766" w14:textId="0EED253B" w:rsidR="003754EB" w:rsidRPr="003754EB" w:rsidRDefault="003754EB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5" w:tgtFrame="_self" w:history="1">
              <w:r w:rsidRPr="003754EB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Ley 1101 de 2006</w:t>
              </w:r>
            </w:hyperlink>
          </w:p>
        </w:tc>
        <w:tc>
          <w:tcPr>
            <w:tcW w:w="4100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1065EBBB" w14:textId="77777777" w:rsidR="003754EB" w:rsidRPr="003754EB" w:rsidRDefault="003754EB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3754EB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Por la cual se modifica la Ley 300 de 1996 - Ley General de Turismo y se dictan otras disposiciones.</w:t>
            </w:r>
          </w:p>
        </w:tc>
      </w:tr>
      <w:tr w:rsidR="003754EB" w:rsidRPr="003754EB" w14:paraId="6BDD2964" w14:textId="77777777" w:rsidTr="00B10F7A">
        <w:trPr>
          <w:tblCellSpacing w:w="15" w:type="dxa"/>
        </w:trPr>
        <w:tc>
          <w:tcPr>
            <w:tcW w:w="85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77A5E887" w14:textId="0C7A6701" w:rsidR="003754EB" w:rsidRPr="003754EB" w:rsidRDefault="003754EB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6" w:tgtFrame="_blank" w:history="1">
              <w:r w:rsidRPr="003754EB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Ley 1558 de 2012 </w:t>
              </w:r>
            </w:hyperlink>
          </w:p>
        </w:tc>
        <w:tc>
          <w:tcPr>
            <w:tcW w:w="4100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32D68C9D" w14:textId="77777777" w:rsidR="003754EB" w:rsidRPr="003754EB" w:rsidRDefault="003754EB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3754EB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Modifica la Ley General del Turismo Ley 300 de 1996</w:t>
            </w:r>
          </w:p>
        </w:tc>
      </w:tr>
    </w:tbl>
    <w:p w14:paraId="56FA5FAD" w14:textId="176EF1E3" w:rsidR="00B10F7A" w:rsidRDefault="00B10F7A">
      <w:pPr>
        <w:rPr>
          <w:lang w:val="es-ES"/>
        </w:rPr>
      </w:pPr>
    </w:p>
    <w:p w14:paraId="225B8868" w14:textId="53A4264E" w:rsidR="00B10F7A" w:rsidRPr="00B10F7A" w:rsidRDefault="00B10F7A" w:rsidP="00B10F7A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B10F7A">
        <w:rPr>
          <w:rFonts w:ascii="Arial" w:hAnsi="Arial" w:cs="Arial"/>
          <w:b/>
          <w:bCs/>
          <w:sz w:val="24"/>
          <w:szCs w:val="24"/>
          <w:lang w:val="es-ES"/>
        </w:rPr>
        <w:t>RESOLUCIONES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504"/>
      </w:tblGrid>
      <w:tr w:rsidR="00B10F7A" w:rsidRPr="00B10F7A" w14:paraId="2E44EDF5" w14:textId="77777777" w:rsidTr="00B10F7A">
        <w:trPr>
          <w:gridAfter w:val="1"/>
          <w:wAfter w:w="2529" w:type="pct"/>
          <w:tblCellSpacing w:w="15" w:type="dxa"/>
        </w:trPr>
        <w:tc>
          <w:tcPr>
            <w:tcW w:w="2427" w:type="pct"/>
            <w:shd w:val="clear" w:color="auto" w:fill="FFFFFF"/>
            <w:vAlign w:val="center"/>
            <w:hideMark/>
          </w:tcPr>
          <w:p w14:paraId="2C8CBD3F" w14:textId="77777777" w:rsidR="00B10F7A" w:rsidRPr="00B10F7A" w:rsidRDefault="00B10F7A" w:rsidP="00B1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B10F7A" w:rsidRPr="00B10F7A" w14:paraId="38492E9F" w14:textId="77777777" w:rsidTr="00B10F7A">
        <w:trPr>
          <w:tblCellSpacing w:w="15" w:type="dxa"/>
        </w:trPr>
        <w:tc>
          <w:tcPr>
            <w:tcW w:w="242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2569A234" w14:textId="77777777" w:rsidR="00B10F7A" w:rsidRPr="00B10F7A" w:rsidRDefault="00B10F7A" w:rsidP="00B10F7A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Resolución 3860 de 2015</w:t>
            </w:r>
          </w:p>
        </w:tc>
        <w:tc>
          <w:tcPr>
            <w:tcW w:w="252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60806255" w14:textId="77777777" w:rsidR="00B10F7A" w:rsidRPr="00B10F7A" w:rsidRDefault="00B10F7A" w:rsidP="00B10F7A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Normas Técnicas Sectoriales</w:t>
            </w:r>
          </w:p>
        </w:tc>
      </w:tr>
      <w:tr w:rsidR="00B10F7A" w:rsidRPr="00B10F7A" w14:paraId="08FA2985" w14:textId="77777777" w:rsidTr="00B10F7A">
        <w:trPr>
          <w:tblCellSpacing w:w="15" w:type="dxa"/>
        </w:trPr>
        <w:tc>
          <w:tcPr>
            <w:tcW w:w="242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6A8E5822" w14:textId="77777777" w:rsidR="00B10F7A" w:rsidRPr="00B10F7A" w:rsidRDefault="00B10F7A" w:rsidP="00B10F7A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Resolución 1236 de 2017 </w:t>
            </w:r>
          </w:p>
        </w:tc>
        <w:tc>
          <w:tcPr>
            <w:tcW w:w="252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71D81067" w14:textId="77777777" w:rsidR="00B10F7A" w:rsidRPr="00B10F7A" w:rsidRDefault="00B10F7A" w:rsidP="00B10F7A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Certificación virtual</w:t>
            </w:r>
          </w:p>
        </w:tc>
      </w:tr>
      <w:tr w:rsidR="00B10F7A" w:rsidRPr="00B10F7A" w14:paraId="1BE145E5" w14:textId="77777777" w:rsidTr="00B10F7A">
        <w:trPr>
          <w:tblCellSpacing w:w="15" w:type="dxa"/>
        </w:trPr>
        <w:tc>
          <w:tcPr>
            <w:tcW w:w="242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0178E97" w14:textId="77777777" w:rsidR="00B10F7A" w:rsidRPr="00B10F7A" w:rsidRDefault="00B10F7A" w:rsidP="00B10F7A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</w:p>
        </w:tc>
        <w:tc>
          <w:tcPr>
            <w:tcW w:w="2529" w:type="pct"/>
            <w:shd w:val="clear" w:color="auto" w:fill="FFFFFF"/>
            <w:vAlign w:val="center"/>
            <w:hideMark/>
          </w:tcPr>
          <w:p w14:paraId="22C5DDF8" w14:textId="77777777" w:rsidR="00B10F7A" w:rsidRPr="00B10F7A" w:rsidRDefault="00B10F7A" w:rsidP="00B1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16425654" w14:textId="7AA18AEC" w:rsidR="00B10F7A" w:rsidRDefault="00B10F7A">
      <w:pPr>
        <w:rPr>
          <w:lang w:val="es-ES"/>
        </w:rPr>
      </w:pPr>
    </w:p>
    <w:p w14:paraId="7BD78DFC" w14:textId="468D8EB2" w:rsidR="003754EB" w:rsidRPr="00B10F7A" w:rsidRDefault="00B10F7A" w:rsidP="00B10F7A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B10F7A">
        <w:rPr>
          <w:rFonts w:ascii="Arial" w:hAnsi="Arial" w:cs="Arial"/>
          <w:b/>
          <w:bCs/>
          <w:sz w:val="24"/>
          <w:szCs w:val="24"/>
          <w:lang w:val="es-ES"/>
        </w:rPr>
        <w:t>DECRETOS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6735"/>
      </w:tblGrid>
      <w:tr w:rsidR="00B10F7A" w:rsidRPr="00B10F7A" w14:paraId="462D7AB8" w14:textId="77777777" w:rsidTr="00B10F7A">
        <w:trPr>
          <w:tblCellSpacing w:w="15" w:type="dxa"/>
        </w:trPr>
        <w:tc>
          <w:tcPr>
            <w:tcW w:w="108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B6677E9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434 de 2020</w:t>
            </w:r>
          </w:p>
        </w:tc>
        <w:tc>
          <w:tcPr>
            <w:tcW w:w="387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513082E" w14:textId="45DE75E5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Por el cual se establecen plazos especiales para la renovación de la matrícula mercantil, el RUNEOL y los demás registros que integran el Registro Único Empresarial y Social - RUES, así como para las reuniones ordinarias de las asambleas y demás cuerpos colegiados, para mitigar los efectos económicos del nuevo coronavirus COVID-19 en el territorio nacional.  </w:t>
            </w:r>
            <w:hyperlink r:id="rId7" w:history="1">
              <w:r w:rsidRPr="00B10F7A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Decreto 434 de 2020</w:t>
              </w:r>
            </w:hyperlink>
          </w:p>
        </w:tc>
      </w:tr>
      <w:tr w:rsidR="00B10F7A" w:rsidRPr="00B10F7A" w14:paraId="38035DBD" w14:textId="77777777" w:rsidTr="00B10F7A">
        <w:trPr>
          <w:tblCellSpacing w:w="15" w:type="dxa"/>
        </w:trPr>
        <w:tc>
          <w:tcPr>
            <w:tcW w:w="108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59C9AC8D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        1074 de 2015</w:t>
            </w:r>
          </w:p>
        </w:tc>
        <w:tc>
          <w:tcPr>
            <w:tcW w:w="387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28ED708B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Único Reglamentario del Sector Turismo</w:t>
            </w:r>
          </w:p>
        </w:tc>
      </w:tr>
      <w:tr w:rsidR="00B10F7A" w:rsidRPr="00B10F7A" w14:paraId="3E70C1BC" w14:textId="77777777" w:rsidTr="00B10F7A">
        <w:trPr>
          <w:tblCellSpacing w:w="15" w:type="dxa"/>
        </w:trPr>
        <w:tc>
          <w:tcPr>
            <w:tcW w:w="108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742FDBF2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19 de 2012</w:t>
            </w:r>
          </w:p>
        </w:tc>
        <w:tc>
          <w:tcPr>
            <w:tcW w:w="387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6B15CD45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Dicta normas para suprimir o reformar regulaciones, procedimientos y trámites innecesarios existentes en la Administración Pública.</w:t>
            </w:r>
          </w:p>
        </w:tc>
      </w:tr>
      <w:tr w:rsidR="00B10F7A" w:rsidRPr="00B10F7A" w14:paraId="0467D781" w14:textId="77777777" w:rsidTr="00B10F7A">
        <w:trPr>
          <w:tblCellSpacing w:w="15" w:type="dxa"/>
        </w:trPr>
        <w:tc>
          <w:tcPr>
            <w:tcW w:w="108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06C511E8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229 de 2017</w:t>
            </w:r>
          </w:p>
        </w:tc>
        <w:tc>
          <w:tcPr>
            <w:tcW w:w="387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514CA522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Inscripción, actualización, suspensión RNT</w:t>
            </w:r>
          </w:p>
        </w:tc>
      </w:tr>
      <w:tr w:rsidR="00B10F7A" w:rsidRPr="00B10F7A" w14:paraId="209513EE" w14:textId="77777777" w:rsidTr="00B10F7A">
        <w:trPr>
          <w:tblCellSpacing w:w="15" w:type="dxa"/>
        </w:trPr>
        <w:tc>
          <w:tcPr>
            <w:tcW w:w="108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1EC334A6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2119 de 2018</w:t>
            </w:r>
          </w:p>
        </w:tc>
        <w:tc>
          <w:tcPr>
            <w:tcW w:w="387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41C79467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 xml:space="preserve">Por medio del cual se reglamenta la prestación del servicio de alojamiento turístico y se modifican la Sección 12 del </w:t>
            </w:r>
            <w:proofErr w:type="spellStart"/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Capitulo</w:t>
            </w:r>
            <w:proofErr w:type="spellEnd"/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 xml:space="preserve"> 4 del Título 4 de la Parte 2 del Libro 2 y el parágrafo del artículo 2.2.4.7.2. del Decreto 1074 de 2015, Decreto Único Reglamentario del Sector Comercio, Industria y Turismo</w:t>
            </w:r>
          </w:p>
        </w:tc>
      </w:tr>
      <w:tr w:rsidR="00B10F7A" w:rsidRPr="00B10F7A" w14:paraId="165FEFF0" w14:textId="77777777" w:rsidTr="00B10F7A">
        <w:trPr>
          <w:tblCellSpacing w:w="15" w:type="dxa"/>
        </w:trPr>
        <w:tc>
          <w:tcPr>
            <w:tcW w:w="108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122A4324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2063 de 2018</w:t>
            </w:r>
          </w:p>
        </w:tc>
        <w:tc>
          <w:tcPr>
            <w:tcW w:w="387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7A5E7FF6" w14:textId="77777777" w:rsidR="00B10F7A" w:rsidRPr="00B10F7A" w:rsidRDefault="00B10F7A" w:rsidP="00B10F7A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Por el cual se modifican los artículos 2.2.4.1.1.6., 2.2.4.1.1.10., 2.2.4.1.2.1., 2.2.4.1.2.2., 2.2.4.1.2.3.,</w:t>
            </w: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br/>
              <w:t>2.2.4.1.2.4. Y 2.2.4.1.3.4. del Decreto Único Reglamentario del Sector Comercio, Industria y Turismo, Decreto 1074 de 2015</w:t>
            </w:r>
          </w:p>
        </w:tc>
      </w:tr>
    </w:tbl>
    <w:p w14:paraId="4AD0BA23" w14:textId="77777777" w:rsidR="00B10F7A" w:rsidRPr="00B10F7A" w:rsidRDefault="00B10F7A" w:rsidP="00B10F7A">
      <w:pPr>
        <w:jc w:val="center"/>
        <w:rPr>
          <w:b/>
          <w:bCs/>
          <w:sz w:val="24"/>
          <w:szCs w:val="24"/>
          <w:lang w:val="es-ES"/>
        </w:rPr>
      </w:pPr>
      <w:r w:rsidRPr="00B10F7A">
        <w:rPr>
          <w:b/>
          <w:bCs/>
          <w:sz w:val="24"/>
          <w:szCs w:val="24"/>
          <w:lang w:val="es-ES"/>
        </w:rPr>
        <w:lastRenderedPageBreak/>
        <w:t>CIRCULARES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0"/>
      </w:tblGrid>
      <w:tr w:rsidR="00B10F7A" w:rsidRPr="00B10F7A" w14:paraId="56BF3109" w14:textId="77777777" w:rsidTr="00B10F7A">
        <w:trPr>
          <w:tblHeader/>
          <w:tblCellSpacing w:w="15" w:type="dxa"/>
        </w:trPr>
        <w:tc>
          <w:tcPr>
            <w:tcW w:w="4971" w:type="pct"/>
            <w:shd w:val="clear" w:color="auto" w:fill="757575"/>
            <w:vAlign w:val="center"/>
            <w:hideMark/>
          </w:tcPr>
          <w:p w14:paraId="6B7731D2" w14:textId="77777777" w:rsidR="00B10F7A" w:rsidRPr="00B10F7A" w:rsidRDefault="00B10F7A" w:rsidP="00B1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B10F7A" w:rsidRPr="00B10F7A" w14:paraId="5E40F664" w14:textId="77777777" w:rsidTr="00B10F7A">
        <w:trPr>
          <w:tblCellSpacing w:w="15" w:type="dxa"/>
        </w:trPr>
        <w:tc>
          <w:tcPr>
            <w:tcW w:w="4971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7FC907E6" w14:textId="77777777" w:rsidR="00B10F7A" w:rsidRPr="00B10F7A" w:rsidRDefault="00B10F7A" w:rsidP="00B10F7A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0F7A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Circular Única de la Superintendencia de Industria y Comercio</w:t>
            </w:r>
          </w:p>
        </w:tc>
      </w:tr>
    </w:tbl>
    <w:p w14:paraId="7FA779FB" w14:textId="5D2D9121" w:rsidR="00B10F7A" w:rsidRPr="003754EB" w:rsidRDefault="00B10F7A">
      <w:pPr>
        <w:rPr>
          <w:lang w:val="es-ES"/>
        </w:rPr>
      </w:pPr>
    </w:p>
    <w:sectPr w:rsidR="00B10F7A" w:rsidRPr="003754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EB"/>
    <w:rsid w:val="003754EB"/>
    <w:rsid w:val="00901420"/>
    <w:rsid w:val="00B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0D0"/>
  <w15:chartTrackingRefBased/>
  <w15:docId w15:val="{2A78B6FA-99C8-4918-8D87-C1B23766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7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ECRETO_434_DE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yes%20desde%201992%20-%20Vigencia%20expresa%20y%20control%20de%20constitucionalidad%20%5bLEY_1558_2012%5d.pdf" TargetMode="External"/><Relationship Id="rId5" Type="http://schemas.openxmlformats.org/officeDocument/2006/relationships/hyperlink" Target="Leyes%20desde%201992%20-%20Vigencia%20expresa%20y%20control%20de%20constitucionalidad%20%5bLEY_1101_2006%5d.pdf" TargetMode="External"/><Relationship Id="rId4" Type="http://schemas.openxmlformats.org/officeDocument/2006/relationships/hyperlink" Target="Leyes%20desde%201992%20-%20Vigencia%20expresa%20y%20control%20de%20constitucionalidad%20%5bLEY_0300_1996%5d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Barrera</dc:creator>
  <cp:keywords/>
  <dc:description/>
  <cp:lastModifiedBy>Edgar Barrera</cp:lastModifiedBy>
  <cp:revision>3</cp:revision>
  <dcterms:created xsi:type="dcterms:W3CDTF">2020-10-13T20:44:00Z</dcterms:created>
  <dcterms:modified xsi:type="dcterms:W3CDTF">2020-10-13T23:21:00Z</dcterms:modified>
</cp:coreProperties>
</file>